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9BE" w:rsidRDefault="009939BE" w:rsidP="009939BE">
      <w:pPr>
        <w:pStyle w:val="Default"/>
      </w:pPr>
      <w:bookmarkStart w:id="0" w:name="_GoBack"/>
      <w:bookmarkEnd w:id="0"/>
    </w:p>
    <w:p w:rsidR="009939BE" w:rsidRDefault="009939BE" w:rsidP="009939BE">
      <w:pPr>
        <w:pStyle w:val="Default"/>
        <w:rPr>
          <w:sz w:val="22"/>
          <w:szCs w:val="22"/>
        </w:rPr>
      </w:pPr>
    </w:p>
    <w:p w:rsidR="009939BE" w:rsidRDefault="00DC0BA1" w:rsidP="009939BE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B4BA6" w:rsidRPr="00B331D2">
        <w:rPr>
          <w:sz w:val="22"/>
          <w:szCs w:val="22"/>
        </w:rPr>
        <w:t>Kory Hofland</w:t>
      </w:r>
      <w:r w:rsidR="00B331D2">
        <w:rPr>
          <w:sz w:val="22"/>
          <w:szCs w:val="22"/>
        </w:rPr>
        <w:t>, BIT</w:t>
      </w:r>
    </w:p>
    <w:p w:rsidR="001905D6" w:rsidRDefault="009939BE" w:rsidP="001905D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FROM: </w:t>
      </w:r>
      <w:r>
        <w:rPr>
          <w:sz w:val="22"/>
          <w:szCs w:val="22"/>
        </w:rPr>
        <w:tab/>
      </w:r>
      <w:r w:rsidR="000B4BA6">
        <w:rPr>
          <w:sz w:val="22"/>
          <w:szCs w:val="22"/>
        </w:rPr>
        <w:t>Eric Dale</w:t>
      </w:r>
      <w:r w:rsidR="00E472D7">
        <w:rPr>
          <w:sz w:val="22"/>
          <w:szCs w:val="22"/>
        </w:rPr>
        <w:t xml:space="preserve">, Tax Policy and Research </w:t>
      </w:r>
    </w:p>
    <w:p w:rsidR="00282D46" w:rsidRDefault="00282D46" w:rsidP="00282D46"/>
    <w:p w:rsidR="009939BE" w:rsidRPr="00385F68" w:rsidRDefault="00B331D2" w:rsidP="001905D6">
      <w:pPr>
        <w:pStyle w:val="Default"/>
        <w:spacing w:line="480" w:lineRule="auto"/>
        <w:rPr>
          <w:sz w:val="22"/>
          <w:szCs w:val="22"/>
        </w:rPr>
      </w:pPr>
      <w:r w:rsidRPr="00385F68">
        <w:rPr>
          <w:sz w:val="22"/>
          <w:szCs w:val="22"/>
        </w:rPr>
        <w:t xml:space="preserve">DATE: </w:t>
      </w:r>
      <w:r w:rsidRPr="00385F68">
        <w:rPr>
          <w:sz w:val="22"/>
          <w:szCs w:val="22"/>
        </w:rPr>
        <w:tab/>
      </w:r>
      <w:r w:rsidRPr="00385F68">
        <w:rPr>
          <w:sz w:val="22"/>
          <w:szCs w:val="22"/>
        </w:rPr>
        <w:tab/>
      </w:r>
      <w:r w:rsidR="000E0E4B" w:rsidRPr="00385F68">
        <w:rPr>
          <w:sz w:val="22"/>
          <w:szCs w:val="22"/>
        </w:rPr>
        <w:t xml:space="preserve">May </w:t>
      </w:r>
      <w:r w:rsidR="00B32985" w:rsidRPr="00385F68">
        <w:rPr>
          <w:sz w:val="22"/>
          <w:szCs w:val="22"/>
        </w:rPr>
        <w:t>8</w:t>
      </w:r>
      <w:r w:rsidR="000E0E4B" w:rsidRPr="00385F68">
        <w:rPr>
          <w:sz w:val="22"/>
          <w:szCs w:val="22"/>
        </w:rPr>
        <w:t>, 201</w:t>
      </w:r>
      <w:r w:rsidR="00CE6980" w:rsidRPr="00385F68">
        <w:rPr>
          <w:sz w:val="22"/>
          <w:szCs w:val="22"/>
        </w:rPr>
        <w:t>7</w:t>
      </w:r>
    </w:p>
    <w:p w:rsidR="00B331D2" w:rsidRPr="00385F68" w:rsidRDefault="009939BE" w:rsidP="00ED3631">
      <w:pPr>
        <w:spacing w:line="480" w:lineRule="auto"/>
        <w:rPr>
          <w:sz w:val="22"/>
          <w:szCs w:val="22"/>
        </w:rPr>
      </w:pPr>
      <w:r w:rsidRPr="00385F68">
        <w:rPr>
          <w:sz w:val="22"/>
          <w:szCs w:val="22"/>
        </w:rPr>
        <w:t xml:space="preserve">RE: </w:t>
      </w:r>
      <w:r w:rsidRPr="00385F68">
        <w:rPr>
          <w:sz w:val="22"/>
          <w:szCs w:val="22"/>
        </w:rPr>
        <w:tab/>
      </w:r>
      <w:r w:rsidRPr="00385F68">
        <w:rPr>
          <w:sz w:val="22"/>
          <w:szCs w:val="22"/>
        </w:rPr>
        <w:tab/>
      </w:r>
      <w:r w:rsidR="00282D46" w:rsidRPr="00385F68">
        <w:rPr>
          <w:sz w:val="22"/>
          <w:szCs w:val="22"/>
        </w:rPr>
        <w:t>Tax Year 201</w:t>
      </w:r>
      <w:r w:rsidR="00CE6980" w:rsidRPr="00385F68">
        <w:rPr>
          <w:sz w:val="22"/>
          <w:szCs w:val="22"/>
        </w:rPr>
        <w:t>7</w:t>
      </w:r>
      <w:r w:rsidR="000A3BF1" w:rsidRPr="00385F68">
        <w:rPr>
          <w:sz w:val="22"/>
          <w:szCs w:val="22"/>
        </w:rPr>
        <w:t xml:space="preserve"> </w:t>
      </w:r>
      <w:r w:rsidRPr="00385F68">
        <w:rPr>
          <w:sz w:val="22"/>
          <w:szCs w:val="22"/>
        </w:rPr>
        <w:t>Class 12 Tax</w:t>
      </w:r>
      <w:r w:rsidR="000A3BF1" w:rsidRPr="00385F68">
        <w:rPr>
          <w:sz w:val="22"/>
          <w:szCs w:val="22"/>
        </w:rPr>
        <w:t>able</w:t>
      </w:r>
      <w:r w:rsidRPr="00385F68">
        <w:rPr>
          <w:sz w:val="22"/>
          <w:szCs w:val="22"/>
        </w:rPr>
        <w:t xml:space="preserve"> </w:t>
      </w:r>
      <w:r w:rsidR="000A3BF1" w:rsidRPr="00385F68">
        <w:rPr>
          <w:sz w:val="22"/>
          <w:szCs w:val="22"/>
        </w:rPr>
        <w:t>Percentage Rate</w:t>
      </w:r>
      <w:r w:rsidR="00B331D2" w:rsidRPr="00385F68">
        <w:t xml:space="preserve">        </w:t>
      </w:r>
      <w:r w:rsidR="00B331D2" w:rsidRPr="00385F68">
        <w:tab/>
      </w:r>
      <w:r w:rsidR="00B331D2" w:rsidRPr="00385F68">
        <w:rPr>
          <w:sz w:val="22"/>
          <w:szCs w:val="22"/>
        </w:rPr>
        <w:tab/>
      </w:r>
    </w:p>
    <w:p w:rsidR="0013160D" w:rsidRPr="00385F68" w:rsidRDefault="00ED3631" w:rsidP="00ED3631">
      <w:pPr>
        <w:tabs>
          <w:tab w:val="left" w:pos="1440"/>
          <w:tab w:val="left" w:pos="5146"/>
        </w:tabs>
        <w:jc w:val="both"/>
        <w:rPr>
          <w:sz w:val="22"/>
          <w:szCs w:val="22"/>
        </w:rPr>
      </w:pPr>
      <w:r w:rsidRPr="00385F68">
        <w:t>CC:</w:t>
      </w:r>
      <w:r w:rsidRPr="00385F68">
        <w:tab/>
      </w:r>
      <w:r w:rsidRPr="00385F68">
        <w:rPr>
          <w:sz w:val="22"/>
          <w:szCs w:val="22"/>
        </w:rPr>
        <w:t>Mike Kadas</w:t>
      </w:r>
      <w:r w:rsidRPr="00385F68">
        <w:rPr>
          <w:sz w:val="22"/>
          <w:szCs w:val="22"/>
        </w:rPr>
        <w:tab/>
      </w:r>
      <w:r w:rsidR="0013160D" w:rsidRPr="00385F68">
        <w:rPr>
          <w:sz w:val="22"/>
          <w:szCs w:val="22"/>
        </w:rPr>
        <w:t>Gene Walborn</w:t>
      </w:r>
    </w:p>
    <w:p w:rsidR="00ED3631" w:rsidRPr="00385F68" w:rsidRDefault="0013160D" w:rsidP="00ED3631">
      <w:pPr>
        <w:tabs>
          <w:tab w:val="left" w:pos="1440"/>
          <w:tab w:val="left" w:pos="5146"/>
        </w:tabs>
        <w:jc w:val="both"/>
        <w:rPr>
          <w:sz w:val="22"/>
          <w:szCs w:val="22"/>
        </w:rPr>
      </w:pPr>
      <w:r w:rsidRPr="00385F68">
        <w:rPr>
          <w:sz w:val="22"/>
          <w:szCs w:val="22"/>
        </w:rPr>
        <w:tab/>
        <w:t>Amy Carlson</w:t>
      </w:r>
      <w:r w:rsidRPr="00385F68">
        <w:rPr>
          <w:sz w:val="22"/>
          <w:szCs w:val="22"/>
        </w:rPr>
        <w:tab/>
      </w:r>
      <w:r w:rsidR="00ED3631" w:rsidRPr="00385F68">
        <w:rPr>
          <w:sz w:val="22"/>
          <w:szCs w:val="22"/>
        </w:rPr>
        <w:t>Ryan Evans</w:t>
      </w:r>
    </w:p>
    <w:p w:rsidR="00ED3631" w:rsidRPr="00385F68" w:rsidRDefault="00ED3631" w:rsidP="00ED3631">
      <w:pPr>
        <w:tabs>
          <w:tab w:val="left" w:pos="1440"/>
          <w:tab w:val="left" w:pos="5146"/>
        </w:tabs>
        <w:jc w:val="both"/>
        <w:rPr>
          <w:sz w:val="22"/>
          <w:szCs w:val="22"/>
        </w:rPr>
      </w:pPr>
      <w:r w:rsidRPr="00385F68">
        <w:rPr>
          <w:sz w:val="22"/>
          <w:szCs w:val="22"/>
        </w:rPr>
        <w:tab/>
      </w:r>
      <w:r w:rsidR="00385F68" w:rsidRPr="00385F68">
        <w:rPr>
          <w:sz w:val="22"/>
          <w:szCs w:val="22"/>
        </w:rPr>
        <w:t>Shauna Helfert</w:t>
      </w:r>
      <w:r w:rsidR="0013160D" w:rsidRPr="00385F68">
        <w:rPr>
          <w:sz w:val="22"/>
          <w:szCs w:val="22"/>
        </w:rPr>
        <w:tab/>
      </w:r>
      <w:r w:rsidRPr="00385F68">
        <w:rPr>
          <w:sz w:val="22"/>
          <w:szCs w:val="22"/>
        </w:rPr>
        <w:t>Harold Blattie</w:t>
      </w:r>
      <w:r w:rsidR="0013160D" w:rsidRPr="00385F68">
        <w:rPr>
          <w:sz w:val="22"/>
          <w:szCs w:val="22"/>
        </w:rPr>
        <w:tab/>
      </w:r>
    </w:p>
    <w:p w:rsidR="007878FB" w:rsidRPr="00B331D2" w:rsidRDefault="007878FB" w:rsidP="00ED3631">
      <w:pPr>
        <w:tabs>
          <w:tab w:val="left" w:pos="1440"/>
          <w:tab w:val="left" w:pos="5146"/>
        </w:tabs>
        <w:jc w:val="both"/>
        <w:rPr>
          <w:sz w:val="22"/>
          <w:szCs w:val="22"/>
        </w:rPr>
      </w:pPr>
      <w:r w:rsidRPr="00385F68">
        <w:rPr>
          <w:sz w:val="22"/>
          <w:szCs w:val="22"/>
        </w:rPr>
        <w:tab/>
        <w:t>Sherri Diemert</w:t>
      </w:r>
      <w:r w:rsidR="0013160D" w:rsidRPr="00385F68">
        <w:rPr>
          <w:sz w:val="22"/>
          <w:szCs w:val="22"/>
        </w:rPr>
        <w:tab/>
      </w:r>
      <w:r w:rsidR="00033B2A" w:rsidRPr="00385F68">
        <w:rPr>
          <w:sz w:val="22"/>
          <w:szCs w:val="22"/>
        </w:rPr>
        <w:t>Tim Burton</w:t>
      </w:r>
    </w:p>
    <w:p w:rsidR="00ED3631" w:rsidRDefault="00ED3631" w:rsidP="009939BE">
      <w:pPr>
        <w:pStyle w:val="Default"/>
        <w:rPr>
          <w:sz w:val="22"/>
          <w:szCs w:val="22"/>
        </w:rPr>
      </w:pPr>
    </w:p>
    <w:p w:rsidR="000A3BF1" w:rsidRDefault="000B4BA6" w:rsidP="009939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tax year 201</w:t>
      </w:r>
      <w:r w:rsidR="00CE6980">
        <w:rPr>
          <w:sz w:val="22"/>
          <w:szCs w:val="22"/>
        </w:rPr>
        <w:t>7</w:t>
      </w:r>
      <w:r w:rsidR="000A3BF1">
        <w:rPr>
          <w:sz w:val="22"/>
          <w:szCs w:val="22"/>
        </w:rPr>
        <w:t xml:space="preserve"> taxable percentage rate for class 12 property is</w:t>
      </w:r>
      <w:r>
        <w:rPr>
          <w:sz w:val="22"/>
          <w:szCs w:val="22"/>
        </w:rPr>
        <w:t xml:space="preserve"> estimated to be </w:t>
      </w:r>
      <w:r w:rsidR="00CE6980">
        <w:rPr>
          <w:b/>
          <w:bCs/>
          <w:sz w:val="22"/>
          <w:szCs w:val="22"/>
        </w:rPr>
        <w:t>3.07</w:t>
      </w:r>
      <w:r w:rsidR="000A3BF1">
        <w:rPr>
          <w:b/>
          <w:bCs/>
          <w:sz w:val="22"/>
          <w:szCs w:val="22"/>
        </w:rPr>
        <w:t>%</w:t>
      </w:r>
      <w:r w:rsidR="000A3BF1">
        <w:rPr>
          <w:sz w:val="22"/>
          <w:szCs w:val="22"/>
        </w:rPr>
        <w:t>.</w:t>
      </w:r>
    </w:p>
    <w:p w:rsidR="000A3BF1" w:rsidRDefault="000A3BF1" w:rsidP="009939BE">
      <w:pPr>
        <w:pStyle w:val="Default"/>
        <w:rPr>
          <w:sz w:val="22"/>
          <w:szCs w:val="22"/>
        </w:rPr>
      </w:pPr>
    </w:p>
    <w:p w:rsidR="0073292E" w:rsidRDefault="000A3BF1" w:rsidP="009939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Per 15-6-145, MCA, the Department of Revenue shall calculate the taxable percentage rate for class 12 property</w:t>
      </w:r>
      <w:r w:rsidR="0073292E">
        <w:rPr>
          <w:sz w:val="22"/>
          <w:szCs w:val="22"/>
        </w:rPr>
        <w:t xml:space="preserve"> annually by:</w:t>
      </w:r>
    </w:p>
    <w:p w:rsidR="0073292E" w:rsidRDefault="0073292E" w:rsidP="009939BE">
      <w:pPr>
        <w:pStyle w:val="Default"/>
        <w:rPr>
          <w:sz w:val="22"/>
          <w:szCs w:val="22"/>
        </w:rPr>
      </w:pPr>
    </w:p>
    <w:p w:rsidR="0073292E" w:rsidRDefault="0073292E" w:rsidP="0073292E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conducting a sales assessment ratio for class 4 commercial and industrial property;</w:t>
      </w:r>
    </w:p>
    <w:p w:rsidR="001D0B9A" w:rsidRDefault="000B4BA6" w:rsidP="0073292E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adjusting </w:t>
      </w:r>
      <w:r w:rsidR="001D0B9A">
        <w:rPr>
          <w:sz w:val="22"/>
          <w:szCs w:val="22"/>
        </w:rPr>
        <w:t>the total class 4 commercial and industrial</w:t>
      </w:r>
      <w:r w:rsidR="000E0E4B">
        <w:rPr>
          <w:sz w:val="22"/>
          <w:szCs w:val="22"/>
        </w:rPr>
        <w:t xml:space="preserve"> taxable</w:t>
      </w:r>
      <w:r w:rsidR="001D0B9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market </w:t>
      </w:r>
      <w:r w:rsidR="001D0B9A">
        <w:rPr>
          <w:sz w:val="22"/>
          <w:szCs w:val="22"/>
        </w:rPr>
        <w:t>value;</w:t>
      </w:r>
    </w:p>
    <w:p w:rsidR="001D0B9A" w:rsidRDefault="001D0B9A" w:rsidP="0073292E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adding this product to the </w:t>
      </w:r>
      <w:r w:rsidRPr="00832D7F">
        <w:rPr>
          <w:sz w:val="22"/>
          <w:szCs w:val="22"/>
          <w:u w:val="single"/>
        </w:rPr>
        <w:t>taxable</w:t>
      </w:r>
      <w:r>
        <w:rPr>
          <w:sz w:val="22"/>
          <w:szCs w:val="22"/>
        </w:rPr>
        <w:t xml:space="preserve"> value of other non-class 12 commercial property; and   </w:t>
      </w:r>
    </w:p>
    <w:p w:rsidR="006B302C" w:rsidRDefault="006B302C" w:rsidP="0073292E">
      <w:pPr>
        <w:pStyle w:val="Default"/>
        <w:numPr>
          <w:ilvl w:val="0"/>
          <w:numId w:val="1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dividing</w:t>
      </w:r>
      <w:proofErr w:type="gramEnd"/>
      <w:r w:rsidR="001D0B9A">
        <w:rPr>
          <w:sz w:val="22"/>
          <w:szCs w:val="22"/>
        </w:rPr>
        <w:t xml:space="preserve"> this adjusted total taxable value </w:t>
      </w:r>
      <w:r>
        <w:rPr>
          <w:sz w:val="22"/>
          <w:szCs w:val="22"/>
        </w:rPr>
        <w:t>by the total statewide</w:t>
      </w:r>
      <w:r w:rsidR="000B4BA6">
        <w:rPr>
          <w:sz w:val="22"/>
          <w:szCs w:val="22"/>
        </w:rPr>
        <w:t xml:space="preserve"> adjusted</w:t>
      </w:r>
      <w:r>
        <w:rPr>
          <w:sz w:val="22"/>
          <w:szCs w:val="22"/>
        </w:rPr>
        <w:t xml:space="preserve"> </w:t>
      </w:r>
      <w:r w:rsidRPr="005F00FF">
        <w:rPr>
          <w:sz w:val="22"/>
          <w:szCs w:val="22"/>
          <w:u w:val="single"/>
        </w:rPr>
        <w:t>market</w:t>
      </w:r>
      <w:r>
        <w:rPr>
          <w:sz w:val="22"/>
          <w:szCs w:val="22"/>
        </w:rPr>
        <w:t xml:space="preserve"> value of all non-class 12 commercial property. </w:t>
      </w:r>
    </w:p>
    <w:p w:rsidR="0073292E" w:rsidRDefault="0073292E" w:rsidP="009939BE">
      <w:pPr>
        <w:pStyle w:val="Default"/>
        <w:rPr>
          <w:sz w:val="22"/>
          <w:szCs w:val="22"/>
        </w:rPr>
      </w:pPr>
    </w:p>
    <w:p w:rsidR="000B4BA6" w:rsidRDefault="005F00FF" w:rsidP="0067279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1D0B9A">
        <w:rPr>
          <w:sz w:val="22"/>
          <w:szCs w:val="22"/>
        </w:rPr>
        <w:t>tax year 201</w:t>
      </w:r>
      <w:r w:rsidR="00CE6980">
        <w:rPr>
          <w:sz w:val="22"/>
          <w:szCs w:val="22"/>
        </w:rPr>
        <w:t>6</w:t>
      </w:r>
      <w:r w:rsidR="001D0B9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sales assessment ratio of class 4 commercial </w:t>
      </w:r>
      <w:r w:rsidR="001D0B9A">
        <w:rPr>
          <w:sz w:val="22"/>
          <w:szCs w:val="22"/>
        </w:rPr>
        <w:t xml:space="preserve">and industrial property </w:t>
      </w:r>
      <w:r w:rsidR="00672796">
        <w:rPr>
          <w:sz w:val="22"/>
          <w:szCs w:val="22"/>
        </w:rPr>
        <w:t xml:space="preserve">is </w:t>
      </w:r>
      <w:r w:rsidR="000B4BA6">
        <w:rPr>
          <w:sz w:val="22"/>
          <w:szCs w:val="22"/>
        </w:rPr>
        <w:t>8</w:t>
      </w:r>
      <w:r w:rsidR="00CE6980">
        <w:rPr>
          <w:sz w:val="22"/>
          <w:szCs w:val="22"/>
        </w:rPr>
        <w:t>2.08</w:t>
      </w:r>
      <w:r w:rsidR="00672796">
        <w:rPr>
          <w:sz w:val="22"/>
          <w:szCs w:val="22"/>
        </w:rPr>
        <w:t>%</w:t>
      </w:r>
      <w:r>
        <w:rPr>
          <w:sz w:val="22"/>
          <w:szCs w:val="22"/>
        </w:rPr>
        <w:t xml:space="preserve">. </w:t>
      </w:r>
      <w:r w:rsidR="000B4BA6">
        <w:rPr>
          <w:sz w:val="22"/>
          <w:szCs w:val="22"/>
        </w:rPr>
        <w:t>The actual</w:t>
      </w:r>
      <w:r w:rsidR="000E0E4B">
        <w:rPr>
          <w:sz w:val="22"/>
          <w:szCs w:val="22"/>
        </w:rPr>
        <w:t xml:space="preserve"> taxable</w:t>
      </w:r>
      <w:r w:rsidR="000B4BA6">
        <w:rPr>
          <w:sz w:val="22"/>
          <w:szCs w:val="22"/>
        </w:rPr>
        <w:t xml:space="preserve"> market value for class 4 commercial and industrial property is divided by the sales assessment ratio to determine an adjusted market value.</w:t>
      </w:r>
    </w:p>
    <w:p w:rsidR="000B4BA6" w:rsidRDefault="000B4BA6" w:rsidP="00672796">
      <w:pPr>
        <w:pStyle w:val="Default"/>
        <w:rPr>
          <w:sz w:val="22"/>
          <w:szCs w:val="22"/>
        </w:rPr>
      </w:pPr>
    </w:p>
    <w:p w:rsidR="0013160D" w:rsidRDefault="00CE6980" w:rsidP="0067279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In TY 2017</w:t>
      </w:r>
      <w:r w:rsidR="000E0E4B">
        <w:rPr>
          <w:sz w:val="22"/>
          <w:szCs w:val="22"/>
        </w:rPr>
        <w:t xml:space="preserve"> the class 4 rate for commercial and industrial property will remain the same as in TY 2015, so the taxable value for class 4 commercial and industrial property is unmodified. </w:t>
      </w:r>
    </w:p>
    <w:p w:rsidR="00A41443" w:rsidRDefault="00A41443" w:rsidP="00672796">
      <w:pPr>
        <w:pStyle w:val="Default"/>
        <w:rPr>
          <w:sz w:val="22"/>
          <w:szCs w:val="22"/>
        </w:rPr>
      </w:pPr>
    </w:p>
    <w:p w:rsidR="0013160D" w:rsidRDefault="0013160D" w:rsidP="00672796">
      <w:pPr>
        <w:pStyle w:val="Default"/>
        <w:rPr>
          <w:sz w:val="22"/>
          <w:szCs w:val="22"/>
        </w:rPr>
      </w:pPr>
    </w:p>
    <w:p w:rsidR="000B4BA6" w:rsidRDefault="00CE6980" w:rsidP="0013160D">
      <w:pPr>
        <w:pStyle w:val="Default"/>
        <w:jc w:val="center"/>
        <w:rPr>
          <w:sz w:val="22"/>
          <w:szCs w:val="22"/>
        </w:rPr>
      </w:pPr>
      <w:r w:rsidRPr="00CE6980">
        <w:rPr>
          <w:noProof/>
        </w:rPr>
        <w:drawing>
          <wp:inline distT="0" distB="0" distL="0" distR="0">
            <wp:extent cx="2941955" cy="16300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BA6" w:rsidRDefault="000B4BA6" w:rsidP="00672796">
      <w:pPr>
        <w:pStyle w:val="Default"/>
        <w:rPr>
          <w:sz w:val="22"/>
          <w:szCs w:val="22"/>
        </w:rPr>
      </w:pPr>
    </w:p>
    <w:p w:rsidR="000E0E4B" w:rsidRDefault="000E0E4B" w:rsidP="00672796">
      <w:pPr>
        <w:pStyle w:val="Default"/>
        <w:rPr>
          <w:sz w:val="22"/>
          <w:szCs w:val="22"/>
        </w:rPr>
      </w:pPr>
    </w:p>
    <w:p w:rsidR="00836D09" w:rsidRDefault="00836D09" w:rsidP="00E7787D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Because the certification of </w:t>
      </w:r>
      <w:r w:rsidR="0013160D">
        <w:rPr>
          <w:sz w:val="22"/>
          <w:szCs w:val="22"/>
        </w:rPr>
        <w:t>TY</w:t>
      </w:r>
      <w:r>
        <w:rPr>
          <w:sz w:val="22"/>
          <w:szCs w:val="22"/>
        </w:rPr>
        <w:t xml:space="preserve"> 201</w:t>
      </w:r>
      <w:r w:rsidR="00CE6980">
        <w:rPr>
          <w:sz w:val="22"/>
          <w:szCs w:val="22"/>
        </w:rPr>
        <w:t>7</w:t>
      </w:r>
      <w:r>
        <w:rPr>
          <w:sz w:val="22"/>
          <w:szCs w:val="22"/>
        </w:rPr>
        <w:t xml:space="preserve"> property values occurs in August</w:t>
      </w:r>
      <w:r w:rsidR="00832D7F">
        <w:rPr>
          <w:sz w:val="22"/>
          <w:szCs w:val="22"/>
        </w:rPr>
        <w:t xml:space="preserve"> of 201</w:t>
      </w:r>
      <w:r w:rsidR="00CE6980">
        <w:rPr>
          <w:sz w:val="22"/>
          <w:szCs w:val="22"/>
        </w:rPr>
        <w:t>7</w:t>
      </w:r>
      <w:r>
        <w:rPr>
          <w:sz w:val="22"/>
          <w:szCs w:val="22"/>
        </w:rPr>
        <w:t>, t</w:t>
      </w:r>
      <w:r w:rsidR="00E7787D">
        <w:rPr>
          <w:sz w:val="22"/>
          <w:szCs w:val="22"/>
        </w:rPr>
        <w:t xml:space="preserve">he </w:t>
      </w:r>
      <w:r w:rsidR="00832D7F">
        <w:rPr>
          <w:sz w:val="22"/>
          <w:szCs w:val="22"/>
        </w:rPr>
        <w:t>information</w:t>
      </w:r>
      <w:r w:rsidR="00E7787D">
        <w:rPr>
          <w:sz w:val="22"/>
          <w:szCs w:val="22"/>
        </w:rPr>
        <w:t xml:space="preserve"> </w:t>
      </w:r>
      <w:r>
        <w:rPr>
          <w:sz w:val="22"/>
          <w:szCs w:val="22"/>
        </w:rPr>
        <w:t>used in this computation</w:t>
      </w:r>
      <w:r w:rsidR="00E7787D">
        <w:rPr>
          <w:sz w:val="22"/>
          <w:szCs w:val="22"/>
        </w:rPr>
        <w:t xml:space="preserve"> </w:t>
      </w:r>
      <w:r w:rsidR="00A30079">
        <w:rPr>
          <w:sz w:val="22"/>
          <w:szCs w:val="22"/>
        </w:rPr>
        <w:t>is</w:t>
      </w:r>
      <w:r w:rsidR="00E7787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certified </w:t>
      </w:r>
      <w:r w:rsidR="0013160D">
        <w:rPr>
          <w:sz w:val="22"/>
          <w:szCs w:val="22"/>
        </w:rPr>
        <w:t xml:space="preserve">TY </w:t>
      </w:r>
      <w:r>
        <w:rPr>
          <w:sz w:val="22"/>
          <w:szCs w:val="22"/>
        </w:rPr>
        <w:t>201</w:t>
      </w:r>
      <w:r w:rsidR="00CE6980">
        <w:rPr>
          <w:sz w:val="22"/>
          <w:szCs w:val="22"/>
        </w:rPr>
        <w:t>6</w:t>
      </w:r>
      <w:r w:rsidR="0013160D">
        <w:rPr>
          <w:sz w:val="22"/>
          <w:szCs w:val="22"/>
        </w:rPr>
        <w:t xml:space="preserve"> values.  Once the TY 201</w:t>
      </w:r>
      <w:r w:rsidR="00CE6980">
        <w:rPr>
          <w:sz w:val="22"/>
          <w:szCs w:val="22"/>
        </w:rPr>
        <w:t>7</w:t>
      </w:r>
      <w:r>
        <w:rPr>
          <w:sz w:val="22"/>
          <w:szCs w:val="22"/>
        </w:rPr>
        <w:t xml:space="preserve"> certification is complete, the department will recalculate the class 12 percentage</w:t>
      </w:r>
      <w:r w:rsidR="00A30079">
        <w:rPr>
          <w:sz w:val="22"/>
          <w:szCs w:val="22"/>
        </w:rPr>
        <w:t>,</w:t>
      </w:r>
      <w:r>
        <w:rPr>
          <w:sz w:val="22"/>
          <w:szCs w:val="22"/>
        </w:rPr>
        <w:t xml:space="preserve"> and if the recalculated percentage differs from </w:t>
      </w:r>
      <w:r w:rsidR="00CE6980">
        <w:rPr>
          <w:sz w:val="22"/>
          <w:szCs w:val="22"/>
        </w:rPr>
        <w:t>3.07</w:t>
      </w:r>
      <w:r w:rsidR="0013160D">
        <w:rPr>
          <w:sz w:val="22"/>
          <w:szCs w:val="22"/>
        </w:rPr>
        <w:t>%</w:t>
      </w:r>
      <w:r>
        <w:rPr>
          <w:sz w:val="22"/>
          <w:szCs w:val="22"/>
        </w:rPr>
        <w:t xml:space="preserve"> by more than 5%, the department will </w:t>
      </w:r>
      <w:r w:rsidR="00832D7F">
        <w:rPr>
          <w:sz w:val="22"/>
          <w:szCs w:val="22"/>
        </w:rPr>
        <w:t>provide</w:t>
      </w:r>
      <w:r>
        <w:rPr>
          <w:sz w:val="22"/>
          <w:szCs w:val="22"/>
        </w:rPr>
        <w:t xml:space="preserve"> notification of the new class twelve percentage by September 1, 201</w:t>
      </w:r>
      <w:r w:rsidR="00CE6980">
        <w:rPr>
          <w:sz w:val="22"/>
          <w:szCs w:val="22"/>
        </w:rPr>
        <w:t>7</w:t>
      </w:r>
      <w:r>
        <w:rPr>
          <w:sz w:val="22"/>
          <w:szCs w:val="22"/>
        </w:rPr>
        <w:t>.</w:t>
      </w:r>
    </w:p>
    <w:p w:rsidR="00836D09" w:rsidRDefault="00836D09" w:rsidP="00E7787D">
      <w:pPr>
        <w:pStyle w:val="Default"/>
        <w:rPr>
          <w:sz w:val="22"/>
          <w:szCs w:val="22"/>
        </w:rPr>
      </w:pPr>
    </w:p>
    <w:p w:rsidR="009939BE" w:rsidRDefault="00836D09" w:rsidP="00832D7F">
      <w:pPr>
        <w:rPr>
          <w:sz w:val="22"/>
          <w:szCs w:val="22"/>
        </w:rPr>
      </w:pPr>
      <w:r>
        <w:rPr>
          <w:sz w:val="22"/>
          <w:szCs w:val="22"/>
        </w:rPr>
        <w:t xml:space="preserve">The following </w:t>
      </w:r>
      <w:r w:rsidR="00E7787D">
        <w:rPr>
          <w:sz w:val="22"/>
          <w:szCs w:val="22"/>
        </w:rPr>
        <w:t xml:space="preserve">table showing the contribution of each </w:t>
      </w:r>
      <w:r w:rsidR="00832D7F">
        <w:rPr>
          <w:sz w:val="22"/>
          <w:szCs w:val="22"/>
        </w:rPr>
        <w:t>class of property to the class 12 t</w:t>
      </w:r>
      <w:r w:rsidR="007B082B">
        <w:rPr>
          <w:sz w:val="22"/>
          <w:szCs w:val="22"/>
        </w:rPr>
        <w:t>axable percentage rate:</w:t>
      </w:r>
    </w:p>
    <w:p w:rsidR="007B082B" w:rsidRDefault="007B082B" w:rsidP="00832D7F">
      <w:pPr>
        <w:rPr>
          <w:sz w:val="20"/>
        </w:rPr>
      </w:pPr>
    </w:p>
    <w:p w:rsidR="00ED3631" w:rsidRDefault="00CE6980" w:rsidP="007B082B">
      <w:pPr>
        <w:spacing w:line="480" w:lineRule="auto"/>
        <w:jc w:val="center"/>
      </w:pPr>
      <w:r w:rsidRPr="00CE6980">
        <w:rPr>
          <w:noProof/>
        </w:rPr>
        <w:drawing>
          <wp:inline distT="0" distB="0" distL="0" distR="0">
            <wp:extent cx="4182110" cy="2989580"/>
            <wp:effectExtent l="0" t="0" r="889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110" cy="298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631" w:rsidRPr="00B77031" w:rsidRDefault="00A30079" w:rsidP="00A30079">
      <w:r>
        <w:t xml:space="preserve">Please contact </w:t>
      </w:r>
      <w:r w:rsidR="00B32985">
        <w:t xml:space="preserve">Eric Dale (444-7925 </w:t>
      </w:r>
      <w:hyperlink r:id="rId9" w:history="1">
        <w:r w:rsidR="00B32985" w:rsidRPr="00E26C24">
          <w:rPr>
            <w:rStyle w:val="Hyperlink"/>
          </w:rPr>
          <w:t>edale@mt.gov</w:t>
        </w:r>
      </w:hyperlink>
      <w:r w:rsidR="00B32985">
        <w:t xml:space="preserve">) or </w:t>
      </w:r>
      <w:r>
        <w:t>E</w:t>
      </w:r>
      <w:r w:rsidR="00CE6980">
        <w:t>d Caplis a</w:t>
      </w:r>
      <w:r>
        <w:t>t (444-</w:t>
      </w:r>
      <w:r w:rsidR="00CE6980">
        <w:t xml:space="preserve">3531 </w:t>
      </w:r>
      <w:hyperlink r:id="rId10" w:history="1">
        <w:r w:rsidR="00CE6980" w:rsidRPr="009A239B">
          <w:rPr>
            <w:rStyle w:val="Hyperlink"/>
          </w:rPr>
          <w:t>edcaplis@mt.gov</w:t>
        </w:r>
      </w:hyperlink>
      <w:r w:rsidR="00B32985">
        <w:t>)</w:t>
      </w:r>
      <w:r>
        <w:t xml:space="preserve"> if you have any questions. </w:t>
      </w:r>
    </w:p>
    <w:sectPr w:rsidR="00ED3631" w:rsidRPr="00B77031" w:rsidSect="00FF7603">
      <w:headerReference w:type="first" r:id="rId11"/>
      <w:footerReference w:type="first" r:id="rId12"/>
      <w:pgSz w:w="12240" w:h="15840" w:code="1"/>
      <w:pgMar w:top="1440" w:right="1440" w:bottom="1440" w:left="1440" w:header="288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8BF" w:rsidRDefault="002138BF">
      <w:r>
        <w:separator/>
      </w:r>
    </w:p>
  </w:endnote>
  <w:endnote w:type="continuationSeparator" w:id="0">
    <w:p w:rsidR="002138BF" w:rsidRDefault="0021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031" w:rsidRPr="00DE6F3C" w:rsidRDefault="00B77031" w:rsidP="00E05DCF">
    <w:pPr>
      <w:jc w:val="center"/>
      <w:rPr>
        <w:rFonts w:cs="Arial"/>
      </w:rPr>
    </w:pPr>
    <w:proofErr w:type="gramStart"/>
    <w:r w:rsidRPr="00DE6F3C">
      <w:rPr>
        <w:rFonts w:cs="Arial"/>
        <w:sz w:val="18"/>
      </w:rPr>
      <w:t>revenue.mt.gov</w:t>
    </w:r>
    <w:proofErr w:type="gramEnd"/>
    <w:r>
      <w:rPr>
        <w:rFonts w:cs="Arial"/>
        <w:sz w:val="18"/>
      </w:rPr>
      <w:t xml:space="preserve">  </w:t>
    </w:r>
    <w:r w:rsidRPr="00DE6F3C">
      <w:rPr>
        <w:rFonts w:cs="Arial"/>
        <w:sz w:val="18"/>
      </w:rPr>
      <w:sym w:font="Wingdings 3" w:char="F070"/>
    </w:r>
    <w:r>
      <w:rPr>
        <w:rFonts w:cs="Arial"/>
        <w:sz w:val="18"/>
      </w:rPr>
      <w:t xml:space="preserve">  </w:t>
    </w:r>
    <w:r w:rsidRPr="00DE6F3C">
      <w:rPr>
        <w:rFonts w:cs="Arial"/>
        <w:sz w:val="18"/>
      </w:rPr>
      <w:t>Toll free 1-8</w:t>
    </w:r>
    <w:r>
      <w:rPr>
        <w:rFonts w:cs="Arial"/>
        <w:sz w:val="18"/>
      </w:rPr>
      <w:t>66</w:t>
    </w:r>
    <w:r w:rsidRPr="00DE6F3C">
      <w:rPr>
        <w:rFonts w:cs="Arial"/>
        <w:sz w:val="18"/>
      </w:rPr>
      <w:t xml:space="preserve">-859-2254 (in Helena, 444-6900)  </w:t>
    </w:r>
    <w:r w:rsidRPr="00DE6F3C">
      <w:rPr>
        <w:rFonts w:cs="Arial"/>
        <w:sz w:val="18"/>
      </w:rPr>
      <w:sym w:font="Wingdings 3" w:char="F070"/>
    </w:r>
    <w:r w:rsidRPr="00DE6F3C">
      <w:rPr>
        <w:rFonts w:cs="Arial"/>
        <w:sz w:val="18"/>
      </w:rPr>
      <w:t xml:space="preserve"> </w:t>
    </w:r>
    <w:r>
      <w:rPr>
        <w:rFonts w:cs="Arial"/>
        <w:sz w:val="18"/>
      </w:rPr>
      <w:t xml:space="preserve"> </w:t>
    </w:r>
    <w:r w:rsidRPr="00DE6F3C">
      <w:rPr>
        <w:rFonts w:cs="Arial"/>
        <w:color w:val="000000"/>
        <w:sz w:val="18"/>
      </w:rPr>
      <w:t>TDD (406) 444-2830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8BF" w:rsidRDefault="002138BF">
      <w:r>
        <w:separator/>
      </w:r>
    </w:p>
  </w:footnote>
  <w:footnote w:type="continuationSeparator" w:id="0">
    <w:p w:rsidR="002138BF" w:rsidRDefault="00213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031" w:rsidRDefault="00FF7603" w:rsidP="006334E9">
    <w:pPr>
      <w:pStyle w:val="Heading3"/>
      <w:tabs>
        <w:tab w:val="center" w:pos="4590"/>
      </w:tabs>
      <w:spacing w:before="840" w:after="480"/>
      <w:jc w:val="left"/>
      <w:rPr>
        <w:rFonts w:ascii="Arial Black" w:hAnsi="Arial Black"/>
        <w:spacing w:val="-20"/>
        <w:sz w:val="40"/>
      </w:rPr>
    </w:pPr>
    <w:r>
      <w:rPr>
        <w:rFonts w:ascii="Century Gothic" w:hAnsi="Century Gothic"/>
        <w:spacing w:val="-20"/>
        <w:sz w:val="40"/>
      </w:rPr>
      <w:tab/>
    </w:r>
    <w:r w:rsidR="00B77031">
      <w:rPr>
        <w:noProof/>
        <w:sz w:val="18"/>
      </w:rPr>
      <w:drawing>
        <wp:anchor distT="0" distB="0" distL="114300" distR="114300" simplePos="0" relativeHeight="251659264" behindDoc="0" locked="0" layoutInCell="1" allowOverlap="1" wp14:anchorId="1DC8EF60" wp14:editId="409406A6">
          <wp:simplePos x="0" y="0"/>
          <wp:positionH relativeFrom="rightMargin">
            <wp:posOffset>-1005840</wp:posOffset>
          </wp:positionH>
          <wp:positionV relativeFrom="page">
            <wp:posOffset>457200</wp:posOffset>
          </wp:positionV>
          <wp:extent cx="896112" cy="886968"/>
          <wp:effectExtent l="0" t="0" r="0" b="0"/>
          <wp:wrapNone/>
          <wp:docPr id="5" name="Picture 5" descr="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112" cy="8869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7031">
      <w:rPr>
        <w:noProof/>
        <w:sz w:val="18"/>
      </w:rPr>
      <w:drawing>
        <wp:anchor distT="0" distB="0" distL="114300" distR="114300" simplePos="0" relativeHeight="251660288" behindDoc="0" locked="0" layoutInCell="1" allowOverlap="1" wp14:anchorId="09CFE0CE" wp14:editId="06EFF1CA">
          <wp:simplePos x="0" y="0"/>
          <wp:positionH relativeFrom="margin">
            <wp:posOffset>91440</wp:posOffset>
          </wp:positionH>
          <wp:positionV relativeFrom="page">
            <wp:posOffset>457200</wp:posOffset>
          </wp:positionV>
          <wp:extent cx="850392" cy="832104"/>
          <wp:effectExtent l="0" t="0" r="0" b="0"/>
          <wp:wrapNone/>
          <wp:docPr id="6" name="Picture 6" descr="DORLOGO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RLOGO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392" cy="8321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7031">
      <w:rPr>
        <w:rFonts w:ascii="Century Gothic" w:hAnsi="Century Gothic"/>
        <w:spacing w:val="-20"/>
        <w:sz w:val="40"/>
      </w:rPr>
      <w:t>Montana Department of Revenue</w:t>
    </w:r>
  </w:p>
  <w:p w:rsidR="00B77031" w:rsidRPr="004B6FD5" w:rsidRDefault="00B77031" w:rsidP="004B6FD5">
    <w:pPr>
      <w:tabs>
        <w:tab w:val="center" w:pos="810"/>
        <w:tab w:val="center" w:pos="8460"/>
      </w:tabs>
      <w:rPr>
        <w:b/>
        <w:bCs/>
        <w:sz w:val="20"/>
      </w:rPr>
    </w:pPr>
    <w:r w:rsidRPr="004B6FD5">
      <w:rPr>
        <w:b/>
        <w:bCs/>
        <w:sz w:val="20"/>
      </w:rPr>
      <w:tab/>
    </w:r>
    <w:r w:rsidR="007E7EB3">
      <w:rPr>
        <w:b/>
        <w:bCs/>
        <w:sz w:val="20"/>
      </w:rPr>
      <w:t>Mike Kadas</w:t>
    </w:r>
    <w:r w:rsidR="006334E9" w:rsidRPr="004B6FD5">
      <w:rPr>
        <w:b/>
        <w:bCs/>
        <w:sz w:val="20"/>
      </w:rPr>
      <w:tab/>
    </w:r>
    <w:r w:rsidR="007E7EB3">
      <w:rPr>
        <w:b/>
        <w:bCs/>
        <w:sz w:val="20"/>
      </w:rPr>
      <w:t>Steve Bullock</w:t>
    </w:r>
  </w:p>
  <w:p w:rsidR="00B77031" w:rsidRPr="004B6FD5" w:rsidRDefault="00B77031" w:rsidP="004B6FD5">
    <w:pPr>
      <w:tabs>
        <w:tab w:val="center" w:pos="810"/>
        <w:tab w:val="center" w:pos="8460"/>
        <w:tab w:val="center" w:pos="8640"/>
      </w:tabs>
      <w:rPr>
        <w:sz w:val="20"/>
      </w:rPr>
    </w:pPr>
    <w:r w:rsidRPr="004B6FD5">
      <w:rPr>
        <w:sz w:val="20"/>
      </w:rPr>
      <w:tab/>
      <w:t>Director</w:t>
    </w:r>
    <w:r w:rsidRPr="004B6FD5">
      <w:rPr>
        <w:sz w:val="20"/>
      </w:rPr>
      <w:tab/>
      <w:t>Governor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C175E"/>
    <w:multiLevelType w:val="hybridMultilevel"/>
    <w:tmpl w:val="4DD2C1F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06"/>
    <w:rsid w:val="000131B1"/>
    <w:rsid w:val="00033B2A"/>
    <w:rsid w:val="00046A59"/>
    <w:rsid w:val="000A3BF1"/>
    <w:rsid w:val="000B084F"/>
    <w:rsid w:val="000B4BA6"/>
    <w:rsid w:val="000E0E4B"/>
    <w:rsid w:val="0011392E"/>
    <w:rsid w:val="0013160D"/>
    <w:rsid w:val="00157BE1"/>
    <w:rsid w:val="00187A05"/>
    <w:rsid w:val="001905D6"/>
    <w:rsid w:val="001D0B9A"/>
    <w:rsid w:val="002138BF"/>
    <w:rsid w:val="002625B3"/>
    <w:rsid w:val="0027137E"/>
    <w:rsid w:val="00282D46"/>
    <w:rsid w:val="002860C7"/>
    <w:rsid w:val="00346F8F"/>
    <w:rsid w:val="00385F68"/>
    <w:rsid w:val="003F2789"/>
    <w:rsid w:val="00416AA9"/>
    <w:rsid w:val="004B6FD5"/>
    <w:rsid w:val="004C2F43"/>
    <w:rsid w:val="004E0789"/>
    <w:rsid w:val="004F1801"/>
    <w:rsid w:val="00515C06"/>
    <w:rsid w:val="005207FF"/>
    <w:rsid w:val="00582F25"/>
    <w:rsid w:val="005D2AD9"/>
    <w:rsid w:val="005F00FF"/>
    <w:rsid w:val="00626C06"/>
    <w:rsid w:val="006334E9"/>
    <w:rsid w:val="00643832"/>
    <w:rsid w:val="00653B3D"/>
    <w:rsid w:val="00672796"/>
    <w:rsid w:val="006B302C"/>
    <w:rsid w:val="0070598A"/>
    <w:rsid w:val="00720159"/>
    <w:rsid w:val="0073292E"/>
    <w:rsid w:val="0078707F"/>
    <w:rsid w:val="007878FB"/>
    <w:rsid w:val="007B082B"/>
    <w:rsid w:val="007E7EB3"/>
    <w:rsid w:val="00817279"/>
    <w:rsid w:val="00832D7F"/>
    <w:rsid w:val="00836D09"/>
    <w:rsid w:val="009773DF"/>
    <w:rsid w:val="009939BE"/>
    <w:rsid w:val="009F1122"/>
    <w:rsid w:val="00A03CDC"/>
    <w:rsid w:val="00A30079"/>
    <w:rsid w:val="00A41443"/>
    <w:rsid w:val="00AF200F"/>
    <w:rsid w:val="00B03074"/>
    <w:rsid w:val="00B32985"/>
    <w:rsid w:val="00B331D2"/>
    <w:rsid w:val="00B42FB4"/>
    <w:rsid w:val="00B77031"/>
    <w:rsid w:val="00C60E9A"/>
    <w:rsid w:val="00C63232"/>
    <w:rsid w:val="00C92866"/>
    <w:rsid w:val="00CB4FE8"/>
    <w:rsid w:val="00CE6980"/>
    <w:rsid w:val="00D66C39"/>
    <w:rsid w:val="00DA3CB5"/>
    <w:rsid w:val="00DC0BA1"/>
    <w:rsid w:val="00DE6F3C"/>
    <w:rsid w:val="00E05DCF"/>
    <w:rsid w:val="00E4576E"/>
    <w:rsid w:val="00E472D7"/>
    <w:rsid w:val="00E7787D"/>
    <w:rsid w:val="00E817EB"/>
    <w:rsid w:val="00ED3631"/>
    <w:rsid w:val="00F27E18"/>
    <w:rsid w:val="00F81C0E"/>
    <w:rsid w:val="00FC25C2"/>
    <w:rsid w:val="00FF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44D6A7DD-4792-42C9-8A62-A2226909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98A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70598A"/>
    <w:pPr>
      <w:keepNext/>
      <w:outlineLvl w:val="0"/>
    </w:pPr>
    <w:rPr>
      <w:b/>
      <w:bCs/>
      <w:sz w:val="48"/>
    </w:rPr>
  </w:style>
  <w:style w:type="paragraph" w:styleId="Heading2">
    <w:name w:val="heading 2"/>
    <w:basedOn w:val="Normal"/>
    <w:next w:val="Normal"/>
    <w:qFormat/>
    <w:rsid w:val="0070598A"/>
    <w:pPr>
      <w:keepNext/>
      <w:outlineLvl w:val="1"/>
    </w:pPr>
    <w:rPr>
      <w:rFonts w:ascii="Times New Roman" w:hAnsi="Times New Roman"/>
      <w:b/>
      <w:bCs/>
    </w:rPr>
  </w:style>
  <w:style w:type="paragraph" w:styleId="Heading3">
    <w:name w:val="heading 3"/>
    <w:basedOn w:val="Normal"/>
    <w:next w:val="Normal"/>
    <w:qFormat/>
    <w:rsid w:val="0070598A"/>
    <w:pPr>
      <w:keepNext/>
      <w:jc w:val="center"/>
      <w:outlineLvl w:val="2"/>
    </w:pPr>
    <w:rPr>
      <w:rFonts w:ascii="Times New Roman" w:hAnsi="Times New Roman"/>
      <w:b/>
      <w:bCs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4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34E9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6334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334E9"/>
    <w:rPr>
      <w:rFonts w:ascii="Arial" w:hAnsi="Arial"/>
      <w:sz w:val="24"/>
    </w:rPr>
  </w:style>
  <w:style w:type="paragraph" w:customStyle="1" w:styleId="Default">
    <w:name w:val="Default"/>
    <w:rsid w:val="009939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905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05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300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dcaplis@mt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ale@mt.go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hare\WORDlthd\DOR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DOR letterhead.dotx</Template>
  <TotalTime>1</TotalTime>
  <Pages>2</Pages>
  <Words>311</Words>
  <Characters>1734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Dell Computer Corporation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>Klungtvedt, Emily</dc:creator>
  <cp:lastModifiedBy>Nick Haswell</cp:lastModifiedBy>
  <cp:revision>2</cp:revision>
  <cp:lastPrinted>2013-06-03T21:55:00Z</cp:lastPrinted>
  <dcterms:created xsi:type="dcterms:W3CDTF">2017-05-10T21:06:00Z</dcterms:created>
  <dcterms:modified xsi:type="dcterms:W3CDTF">2017-05-10T21:06:00Z</dcterms:modified>
</cp:coreProperties>
</file>